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D13" w:rsidRDefault="003A2D13">
      <w:r>
        <w:rPr>
          <w:noProof/>
          <w:lang w:eastAsia="cs-CZ"/>
        </w:rPr>
        <mc:AlternateContent>
          <mc:Choice Requires="wps">
            <w:drawing>
              <wp:anchor distT="0" distB="0" distL="114300" distR="114300" simplePos="0" relativeHeight="251659264" behindDoc="0" locked="0" layoutInCell="1" allowOverlap="1" wp14:anchorId="7A6A4EFD" wp14:editId="5B653CE4">
                <wp:simplePos x="0" y="0"/>
                <wp:positionH relativeFrom="column">
                  <wp:posOffset>-127635</wp:posOffset>
                </wp:positionH>
                <wp:positionV relativeFrom="paragraph">
                  <wp:posOffset>174463</wp:posOffset>
                </wp:positionV>
                <wp:extent cx="6040755" cy="0"/>
                <wp:effectExtent l="0" t="0" r="17145" b="19050"/>
                <wp:wrapNone/>
                <wp:docPr id="3" name="Přímá spojnice 3"/>
                <wp:cNvGraphicFramePr/>
                <a:graphic xmlns:a="http://schemas.openxmlformats.org/drawingml/2006/main">
                  <a:graphicData uri="http://schemas.microsoft.com/office/word/2010/wordprocessingShape">
                    <wps:wsp>
                      <wps:cNvCnPr/>
                      <wps:spPr>
                        <a:xfrm flipV="1">
                          <a:off x="0" y="0"/>
                          <a:ext cx="6040755" cy="0"/>
                        </a:xfrm>
                        <a:prstGeom prst="line">
                          <a:avLst/>
                        </a:prstGeom>
                        <a:ln>
                          <a:solidFill>
                            <a:srgbClr val="00A9E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13.75pt" to="465.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" strokecolor="#00a9e2"/>
            </w:pict>
          </mc:Fallback>
        </mc:AlternateContent>
      </w:r>
    </w:p>
    <w:sdt>
      <w:sdtPr>
        <w:id w:val="709385124"/>
        <w:docPartObj>
          <w:docPartGallery w:val="Cover Pages"/>
          <w:docPartUnique/>
        </w:docPartObj>
      </w:sdtPr>
      <w:sdtContent>
        <w:p w:rsidR="00434E8A" w:rsidRDefault="00434E8A" w:rsidP="00434E8A">
          <w:r>
            <w:rPr>
              <w:noProof/>
              <w:lang w:eastAsia="cs-CZ"/>
            </w:rPr>
            <mc:AlternateContent>
              <mc:Choice Requires="wpg">
                <w:drawing>
                  <wp:anchor distT="0" distB="0" distL="114300" distR="114300" simplePos="0" relativeHeight="251661312" behindDoc="0" locked="0" layoutInCell="0" allowOverlap="1" wp14:anchorId="75F2251F" wp14:editId="65870501">
                    <wp:simplePos x="0" y="0"/>
                    <wp:positionH relativeFrom="page">
                      <wp:align>center</wp:align>
                    </wp:positionH>
                    <wp:positionV relativeFrom="margin">
                      <wp:align>center</wp:align>
                    </wp:positionV>
                    <wp:extent cx="7771765" cy="7686675"/>
                    <wp:effectExtent l="38100" t="0" r="40640" b="47625"/>
                    <wp:wrapNone/>
                    <wp:docPr id="407" name="Skupin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1765" cy="7686675"/>
                              <a:chOff x="0" y="2294"/>
                              <a:chExt cx="12240" cy="12105"/>
                            </a:xfrm>
                          </wpg:grpSpPr>
                          <wpg:grpSp>
                            <wpg:cNvPr id="408" name="Group 4"/>
                            <wpg:cNvGrpSpPr>
                              <a:grpSpLocks/>
                            </wpg:cNvGrpSpPr>
                            <wpg:grpSpPr bwMode="auto">
                              <a:xfrm>
                                <a:off x="0" y="9661"/>
                                <a:ext cx="12240" cy="4738"/>
                                <a:chOff x="-6" y="3399"/>
                                <a:chExt cx="12197" cy="4253"/>
                              </a:xfrm>
                            </wpg:grpSpPr>
                            <wpg:grpSp>
                              <wpg:cNvPr id="409" name="Group 5"/>
                              <wpg:cNvGrpSpPr>
                                <a:grpSpLocks/>
                              </wpg:cNvGrpSpPr>
                              <wpg:grpSpPr bwMode="auto">
                                <a:xfrm>
                                  <a:off x="-6" y="3717"/>
                                  <a:ext cx="12189" cy="3550"/>
                                  <a:chOff x="18" y="7468"/>
                                  <a:chExt cx="12189" cy="3550"/>
                                </a:xfrm>
                              </wpg:grpSpPr>
                              <wps:wsp>
                                <wps:cNvPr id="410" name="Freeform 6"/>
                                <wps:cNvSpPr>
                                  <a:spLocks/>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1" name="Freeform 7"/>
                                <wps:cNvSpPr>
                                  <a:spLocks/>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2" name="Freeform 8"/>
                                <wps:cNvSpPr>
                                  <a:spLocks/>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3" name="Freeform 9"/>
                              <wps:cNvSpPr>
                                <a:spLocks/>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4" name="Freeform 10"/>
                              <wps:cNvSpPr>
                                <a:spLocks/>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5" name="Freeform 11"/>
                              <wps:cNvSpPr>
                                <a:spLocks/>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6" name="Freeform 12"/>
                              <wps:cNvSpPr>
                                <a:spLocks/>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7" name="Freeform 13"/>
                              <wps:cNvSpPr>
                                <a:spLocks/>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8" name="Freeform 14"/>
                              <wps:cNvSpPr>
                                <a:spLocks/>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21" name="Rectangle 17"/>
                            <wps:cNvSpPr>
                              <a:spLocks noChangeArrowheads="1"/>
                            </wps:cNvSpPr>
                            <wps:spPr bwMode="auto">
                              <a:xfrm>
                                <a:off x="1606" y="2294"/>
                                <a:ext cx="8638" cy="65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rStyle w:val="NzevChar"/>
                                    </w:rPr>
                                    <w:alias w:val="Název"/>
                                    <w:id w:val="15866532"/>
                                    <w:dataBinding w:prefixMappings="xmlns:ns0='http://schemas.openxmlformats.org/package/2006/metadata/core-properties' xmlns:ns1='http://purl.org/dc/elements/1.1/'" w:xpath="/ns0:coreProperties[1]/ns1:title[1]" w:storeItemID="{6C3C8BC8-F283-45AE-878A-BAB7291924A1}"/>
                                    <w:text/>
                                  </w:sdtPr>
                                  <w:sdtContent>
                                    <w:p w:rsidR="00434E8A" w:rsidRPr="007B644A" w:rsidRDefault="00B52327" w:rsidP="00434E8A">
                                      <w:pPr>
                                        <w:spacing w:after="360"/>
                                        <w:jc w:val="center"/>
                                        <w:rPr>
                                          <w:rStyle w:val="NzevChar"/>
                                        </w:rPr>
                                      </w:pPr>
                                      <w:r w:rsidRPr="00B52327">
                                        <w:rPr>
                                          <w:rStyle w:val="NzevChar"/>
                                        </w:rPr>
                                        <w:t>Financování agendy vydávání občanských průkazů v roce 2018</w:t>
                                      </w:r>
                                    </w:p>
                                  </w:sdtContent>
                                </w:sdt>
                                <w:sdt>
                                  <w:sdtPr>
                                    <w:rPr>
                                      <w:sz w:val="32"/>
                                    </w:rPr>
                                    <w:alias w:val="Autor"/>
                                    <w:id w:val="15866544"/>
                                    <w:dataBinding w:prefixMappings="xmlns:ns0='http://schemas.openxmlformats.org/package/2006/metadata/core-properties' xmlns:ns1='http://purl.org/dc/elements/1.1/'" w:xpath="/ns0:coreProperties[1]/ns1:creator[1]" w:storeItemID="{6C3C8BC8-F283-45AE-878A-BAB7291924A1}"/>
                                    <w:text/>
                                  </w:sdtPr>
                                  <w:sdtContent>
                                    <w:p w:rsidR="00B52327" w:rsidRPr="007B644A" w:rsidRDefault="00B52327" w:rsidP="00B52327">
                                      <w:pPr>
                                        <w:pStyle w:val="Nzev"/>
                                        <w:jc w:val="center"/>
                                        <w:rPr>
                                          <w:sz w:val="32"/>
                                        </w:rPr>
                                      </w:pPr>
                                      <w:r w:rsidRPr="007B644A">
                                        <w:rPr>
                                          <w:sz w:val="32"/>
                                        </w:rPr>
                                        <w:t>MVCR</w:t>
                                      </w:r>
                                    </w:p>
                                  </w:sdtContent>
                                </w:sdt>
                                <w:p w:rsidR="00434E8A" w:rsidRPr="007B644A" w:rsidRDefault="00434E8A" w:rsidP="00434E8A">
                                  <w:pPr>
                                    <w:pStyle w:val="Nzev"/>
                                    <w:jc w:val="center"/>
                                    <w:rPr>
                                      <w:sz w:val="32"/>
                                    </w:rPr>
                                  </w:pPr>
                                </w:p>
                                <w:p w:rsidR="00434E8A" w:rsidRDefault="00434E8A" w:rsidP="00434E8A">
                                  <w:pPr>
                                    <w:rPr>
                                      <w:b/>
                                      <w:bCs/>
                                      <w:color w:val="000000" w:themeColor="text1"/>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0</wp14:pctHeight>
                    </wp14:sizeRelV>
                  </wp:anchor>
                </w:drawing>
              </mc:Choice>
              <mc:Fallback>
                <w:pict>
                  <v:group id="Skupina 3" o:spid="_x0000_s1026" style="position:absolute;margin-left:0;margin-top:0;width:611.95pt;height:605.25pt;z-index:251661312;mso-width-percent:1000;mso-position-horizontal:center;mso-position-horizontal-relative:page;mso-position-vertical:center;mso-position-vertical-relative:margin;mso-width-percent:1000;mso-height-relative:margin" coordorigin=",2294" coordsize="12240,12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7" o:spid="_x0000_s1038" style="position:absolute;left:1606;top:2294;width:8638;height:655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rStyle w:val="NzevChar"/>
                              </w:rPr>
                              <w:alias w:val="Název"/>
                              <w:id w:val="15866532"/>
                              <w:dataBinding w:prefixMappings="xmlns:ns0='http://schemas.openxmlformats.org/package/2006/metadata/core-properties' xmlns:ns1='http://purl.org/dc/elements/1.1/'" w:xpath="/ns0:coreProperties[1]/ns1:title[1]" w:storeItemID="{6C3C8BC8-F283-45AE-878A-BAB7291924A1}"/>
                              <w:text/>
                            </w:sdtPr>
                            <w:sdtContent>
                              <w:p w:rsidR="00434E8A" w:rsidRPr="007B644A" w:rsidRDefault="00B52327" w:rsidP="00434E8A">
                                <w:pPr>
                                  <w:spacing w:after="360"/>
                                  <w:jc w:val="center"/>
                                  <w:rPr>
                                    <w:rStyle w:val="NzevChar"/>
                                  </w:rPr>
                                </w:pPr>
                                <w:r w:rsidRPr="00B52327">
                                  <w:rPr>
                                    <w:rStyle w:val="NzevChar"/>
                                  </w:rPr>
                                  <w:t>Financování agendy vydávání občanských průkazů v roce 2018</w:t>
                                </w:r>
                              </w:p>
                            </w:sdtContent>
                          </w:sdt>
                          <w:sdt>
                            <w:sdtPr>
                              <w:rPr>
                                <w:sz w:val="32"/>
                              </w:rPr>
                              <w:alias w:val="Autor"/>
                              <w:id w:val="15866544"/>
                              <w:dataBinding w:prefixMappings="xmlns:ns0='http://schemas.openxmlformats.org/package/2006/metadata/core-properties' xmlns:ns1='http://purl.org/dc/elements/1.1/'" w:xpath="/ns0:coreProperties[1]/ns1:creator[1]" w:storeItemID="{6C3C8BC8-F283-45AE-878A-BAB7291924A1}"/>
                              <w:text/>
                            </w:sdtPr>
                            <w:sdtContent>
                              <w:p w:rsidR="00B52327" w:rsidRPr="007B644A" w:rsidRDefault="00B52327" w:rsidP="00B52327">
                                <w:pPr>
                                  <w:pStyle w:val="Nzev"/>
                                  <w:jc w:val="center"/>
                                  <w:rPr>
                                    <w:sz w:val="32"/>
                                  </w:rPr>
                                </w:pPr>
                                <w:r w:rsidRPr="007B644A">
                                  <w:rPr>
                                    <w:sz w:val="32"/>
                                  </w:rPr>
                                  <w:t>MVCR</w:t>
                                </w:r>
                              </w:p>
                            </w:sdtContent>
                          </w:sdt>
                          <w:p w:rsidR="00434E8A" w:rsidRPr="007B644A" w:rsidRDefault="00434E8A" w:rsidP="00434E8A">
                            <w:pPr>
                              <w:pStyle w:val="Nzev"/>
                              <w:jc w:val="center"/>
                              <w:rPr>
                                <w:sz w:val="32"/>
                              </w:rPr>
                            </w:pPr>
                          </w:p>
                          <w:p w:rsidR="00434E8A" w:rsidRDefault="00434E8A" w:rsidP="00434E8A">
                            <w:pPr>
                              <w:rPr>
                                <w:b/>
                                <w:bCs/>
                                <w:color w:val="000000" w:themeColor="text1"/>
                                <w:sz w:val="32"/>
                                <w:szCs w:val="32"/>
                              </w:rPr>
                            </w:pPr>
                          </w:p>
                        </w:txbxContent>
                      </v:textbox>
                    </v:rect>
                    <w10:wrap anchorx="page" anchory="margin"/>
                  </v:group>
                </w:pict>
              </mc:Fallback>
            </mc:AlternateContent>
          </w:r>
          <w:r>
            <w:br w:type="page"/>
          </w:r>
        </w:p>
        <w:bookmarkStart w:id="0" w:name="_GoBack" w:displacedByCustomXml="next"/>
        <w:bookmarkEnd w:id="0" w:displacedByCustomXml="next"/>
      </w:sdtContent>
    </w:sdt>
    <w:p w:rsidR="00443F02" w:rsidRDefault="00443F02"/>
    <w:p w:rsidR="00E05813" w:rsidRDefault="00E05813"/>
    <w:p w:rsidR="00B81F2D" w:rsidRDefault="00B81F2D" w:rsidP="00B81F2D">
      <w:pPr>
        <w:jc w:val="both"/>
      </w:pPr>
      <w:r w:rsidRPr="00E05813">
        <w:rPr>
          <w:b/>
        </w:rPr>
        <w:t>Počínaje rokem 2018 je připravováno paušální financování agendy vydávání občanských průkazů</w:t>
      </w:r>
      <w:r w:rsidRPr="00E05813">
        <w:t xml:space="preserve"> (dále jen „OP“) </w:t>
      </w:r>
      <w:r>
        <w:rPr>
          <w:b/>
        </w:rPr>
        <w:t>v rámci</w:t>
      </w:r>
      <w:r w:rsidRPr="00E05813">
        <w:rPr>
          <w:b/>
        </w:rPr>
        <w:t xml:space="preserve"> příspěvku</w:t>
      </w:r>
      <w:r>
        <w:t xml:space="preserve"> </w:t>
      </w:r>
      <w:r w:rsidRPr="00DA2500">
        <w:rPr>
          <w:b/>
        </w:rPr>
        <w:t>na přenesenou působnost</w:t>
      </w:r>
      <w:r>
        <w:t>.</w:t>
      </w:r>
    </w:p>
    <w:p w:rsidR="00B81F2D" w:rsidRDefault="00B81F2D" w:rsidP="00B81F2D">
      <w:pPr>
        <w:jc w:val="both"/>
      </w:pPr>
      <w:r>
        <w:t xml:space="preserve">Nejedná se o financování kompletní agendy OP, ale pouze té její části, která je právními předpisy na ORP přenášena. De facto se jedná o „nabrání“ OP a následně o jeho výdej. Do paušální částky nejsou zohledněny další činnosti spadající podle zákona k výkonu této agendy (správní řízení apod.), což ovšem představuje malou část celé agendy.    </w:t>
      </w:r>
    </w:p>
    <w:p w:rsidR="00B81F2D" w:rsidRDefault="00B81F2D" w:rsidP="00B81F2D">
      <w:pPr>
        <w:jc w:val="both"/>
      </w:pPr>
      <w:r>
        <w:t xml:space="preserve">Uveďme, že v oblasti vývoje příspěvku na roky 2017 až 2019 bylo 1. místopředsedou vlády a ministrem financí deklarováno jeho každoroční navýšení vždy o 5 % oproti celkové částce z předcházejícího roku. </w:t>
      </w:r>
      <w:r w:rsidRPr="00E05813">
        <w:rPr>
          <w:b/>
        </w:rPr>
        <w:t>Pro rok 2018</w:t>
      </w:r>
      <w:r>
        <w:t xml:space="preserve"> to pro obce znamená </w:t>
      </w:r>
      <w:r w:rsidRPr="00E05813">
        <w:rPr>
          <w:b/>
        </w:rPr>
        <w:t>navýšení o celkovou částku cca 450 mil. Kč oproti roku 2017</w:t>
      </w:r>
      <w:r>
        <w:t xml:space="preserve">. </w:t>
      </w:r>
    </w:p>
    <w:p w:rsidR="00B81F2D" w:rsidRDefault="00B81F2D" w:rsidP="00B81F2D">
      <w:pPr>
        <w:jc w:val="both"/>
      </w:pPr>
      <w:r>
        <w:t xml:space="preserve">Je-li příspěvek počítán kumulativně po jednotlivých správních rolích, poté z této předpokládané částky 450 mil. Kč připadne cca </w:t>
      </w:r>
      <w:r w:rsidR="003A4ADC">
        <w:t>185</w:t>
      </w:r>
      <w:r>
        <w:t xml:space="preserve"> mil. Kč na navýšení příspěvku pro ORP. </w:t>
      </w:r>
    </w:p>
    <w:p w:rsidR="00B81F2D" w:rsidRDefault="00B81F2D" w:rsidP="00B81F2D">
      <w:pPr>
        <w:jc w:val="both"/>
      </w:pPr>
      <w:r>
        <w:rPr>
          <w:b/>
        </w:rPr>
        <w:t>Převážná část t</w:t>
      </w:r>
      <w:r w:rsidRPr="00E05813">
        <w:rPr>
          <w:b/>
        </w:rPr>
        <w:t xml:space="preserve">ěchto </w:t>
      </w:r>
      <w:r w:rsidR="003A4ADC">
        <w:rPr>
          <w:b/>
        </w:rPr>
        <w:t>185</w:t>
      </w:r>
      <w:r w:rsidRPr="00E05813">
        <w:rPr>
          <w:b/>
        </w:rPr>
        <w:t xml:space="preserve"> mil. Kč na navýšení příspěvku ORP</w:t>
      </w:r>
      <w:r>
        <w:t xml:space="preserve">, kde jsou OP vydávány, by nebyla </w:t>
      </w:r>
      <w:r w:rsidRPr="00E05813">
        <w:rPr>
          <w:b/>
        </w:rPr>
        <w:t>rozdělen</w:t>
      </w:r>
      <w:r>
        <w:rPr>
          <w:b/>
        </w:rPr>
        <w:t>a</w:t>
      </w:r>
      <w:r>
        <w:t xml:space="preserve"> standardně jako doposud v příspěvku (v návaznosti na počet obyvatel, velikost správního obvodu a poměru velikosti centra a správního obvodu), ale </w:t>
      </w:r>
      <w:r w:rsidRPr="00E05813">
        <w:rPr>
          <w:b/>
        </w:rPr>
        <w:t>na základě skutečného počtu vydaných OP</w:t>
      </w:r>
      <w:r>
        <w:t xml:space="preserve">. </w:t>
      </w:r>
      <w:r w:rsidRPr="00CE6B66">
        <w:rPr>
          <w:b/>
          <w:u w:val="single"/>
        </w:rPr>
        <w:t>Žádné ORP si tedy nepohorší oproti současnému stavu.</w:t>
      </w:r>
      <w:r>
        <w:t xml:space="preserve"> Všem ORP bude příspěvek navýšen, avšak na základě jiného rozdělení, než doposud a to paušální částkou na 1 ks OP. O konkrétní výši částky vyčleňované pro pokrytí agendy OP z těchto </w:t>
      </w:r>
      <w:r w:rsidR="003A4ADC">
        <w:t>185</w:t>
      </w:r>
      <w:r>
        <w:t xml:space="preserve"> mil. Kč bude pojednáno posléze. </w:t>
      </w:r>
    </w:p>
    <w:p w:rsidR="00B81F2D" w:rsidRDefault="00B81F2D" w:rsidP="00B81F2D">
      <w:pPr>
        <w:jc w:val="both"/>
      </w:pPr>
      <w:r w:rsidRPr="00E05813">
        <w:rPr>
          <w:b/>
        </w:rPr>
        <w:t xml:space="preserve">Zdůvodnění návrhu financovat OP </w:t>
      </w:r>
      <w:r>
        <w:rPr>
          <w:b/>
        </w:rPr>
        <w:t>paušálním</w:t>
      </w:r>
      <w:r w:rsidRPr="00E05813">
        <w:rPr>
          <w:b/>
        </w:rPr>
        <w:t xml:space="preserve"> způsobem vychází</w:t>
      </w:r>
      <w:r>
        <w:t xml:space="preserve"> (vedle výše uvedeného) </w:t>
      </w:r>
      <w:r w:rsidRPr="00E05813">
        <w:rPr>
          <w:b/>
        </w:rPr>
        <w:t>z dlouhodobé snahy měst a obcí po adresnějším způsobu financování agend přenesené státní správy</w:t>
      </w:r>
      <w:r>
        <w:t xml:space="preserve">. Stejně tak bude posílena motivace úřadů ORP k </w:t>
      </w:r>
      <w:proofErr w:type="spellStart"/>
      <w:r>
        <w:t>proklientskému</w:t>
      </w:r>
      <w:proofErr w:type="spellEnd"/>
      <w:r>
        <w:t xml:space="preserve"> chování, což je v duchu návaznosti na </w:t>
      </w:r>
      <w:r w:rsidRPr="00E05813">
        <w:rPr>
          <w:b/>
        </w:rPr>
        <w:t xml:space="preserve">soutěž </w:t>
      </w:r>
      <w:r w:rsidRPr="00E05813">
        <w:rPr>
          <w:b/>
          <w:i/>
        </w:rPr>
        <w:t>Přívětivý úřad</w:t>
      </w:r>
      <w:r>
        <w:t xml:space="preserve"> (zejména objednávkové systémy a rozsah úřední doby). Navrhovaný způsob financování OP má potenciál posílit konkurenční prostředí v rámci výkonu předmětné agendy a možnost oslovení dalších občanů (klientů) mezi jednotlivými úřady ORP zejména v oblastech s krátkou </w:t>
      </w:r>
      <w:proofErr w:type="spellStart"/>
      <w:r>
        <w:t>dojezdností</w:t>
      </w:r>
      <w:proofErr w:type="spellEnd"/>
      <w:r>
        <w:t xml:space="preserve"> mezi úřady. </w:t>
      </w:r>
    </w:p>
    <w:p w:rsidR="00B81F2D" w:rsidRDefault="00B81F2D" w:rsidP="00B81F2D">
      <w:pPr>
        <w:jc w:val="both"/>
      </w:pPr>
      <w:r>
        <w:t xml:space="preserve">Po zrušení místní příslušnosti spojené s vydáváním OP je spravedlivé příspěvek rozdělovat na základě reálných počtů vydaných OP (vytížení úřadů) ORP, jelikož dochází k přesnější distribuci finančních prostředků. </w:t>
      </w:r>
    </w:p>
    <w:p w:rsidR="00B81F2D" w:rsidRDefault="00B81F2D" w:rsidP="00B81F2D">
      <w:pPr>
        <w:jc w:val="both"/>
      </w:pPr>
      <w:r w:rsidRPr="00E05813">
        <w:rPr>
          <w:b/>
        </w:rPr>
        <w:t>Ka</w:t>
      </w:r>
      <w:r>
        <w:rPr>
          <w:b/>
        </w:rPr>
        <w:t xml:space="preserve">lkulace výše příspěvku na </w:t>
      </w:r>
      <w:proofErr w:type="gramStart"/>
      <w:r>
        <w:rPr>
          <w:b/>
        </w:rPr>
        <w:t xml:space="preserve">jeden </w:t>
      </w:r>
      <w:r w:rsidRPr="00E05813">
        <w:rPr>
          <w:b/>
        </w:rPr>
        <w:t>OP</w:t>
      </w:r>
      <w:proofErr w:type="gramEnd"/>
      <w:r>
        <w:t xml:space="preserve"> vychází z reálného výpočtu (určení mzdových nákladů na pracovní úvazek zabezpečující danou agendu, zahrnutí průměrné variabilní složky platu a zahrnutí režijních nákladů a nákladů na materiální zabezpečení pracovníka dle platného usnesení vlády č. 878/2007, kterým se stanoví Metodika stanovení plánovaných nákladů na výkon státní správy – koeficient 1,43). </w:t>
      </w:r>
    </w:p>
    <w:p w:rsidR="00B81F2D" w:rsidRDefault="00B81F2D" w:rsidP="00B81F2D">
      <w:pPr>
        <w:jc w:val="both"/>
      </w:pPr>
      <w:r>
        <w:t>V rámci provedeného výpočtu byl kalkulován reálný počet odpracovaných hodin (odečet dovolených, zákonného rozsahu školení i průměrné doby na zdravotní neschopnost apod.).</w:t>
      </w:r>
    </w:p>
    <w:p w:rsidR="00B81F2D" w:rsidRPr="00E05813" w:rsidRDefault="00B81F2D" w:rsidP="00B81F2D">
      <w:pPr>
        <w:jc w:val="both"/>
        <w:rPr>
          <w:b/>
        </w:rPr>
      </w:pPr>
      <w:r w:rsidRPr="00E05813">
        <w:rPr>
          <w:b/>
        </w:rPr>
        <w:lastRenderedPageBreak/>
        <w:t xml:space="preserve">Kalkulováno je s průměrným časem na „nabrání“ a výdej OP v délce 20 min. a příspěvkem na 1 OP ve výši 107 Kč. </w:t>
      </w:r>
    </w:p>
    <w:p w:rsidR="00B81F2D" w:rsidRDefault="00B81F2D" w:rsidP="00B81F2D">
      <w:pPr>
        <w:jc w:val="both"/>
      </w:pPr>
      <w:r>
        <w:t xml:space="preserve">U kalkulace času na vydání jednoho OP uveďme, že tento zahrnuje nejen čisté odbavení požadavku „dle strojové výkonnosti“, ale zahrnuje i „průměrný čas navíc“ např. při výjezdu na vydání OP u zdravotně postižených občanů v místě bydliště, archivace dokumentů apod. Při započtení těchto tzv. „ztrátových“ (nestrojových) časů vychází na vydání jednoho OP časová dotace 20 minut. Naproti tomu, strojový čas ze statistik MV vychází pro 90 % OP do 10 minut. Pro informaci ještě uveďme, že podle interních statistik mezi vybranými obcemi ORP, vychází náklad na obsluhu výdeje jednoho OP na 77 Kč. </w:t>
      </w:r>
    </w:p>
    <w:p w:rsidR="00B81F2D" w:rsidRDefault="00B81F2D" w:rsidP="00B81F2D">
      <w:pPr>
        <w:jc w:val="both"/>
      </w:pPr>
      <w:r>
        <w:t xml:space="preserve">V rámci úvah o novém způsobu financování výdeje OP je navrhováno uplatnit pravidlo o </w:t>
      </w:r>
      <w:r w:rsidRPr="00E05813">
        <w:rPr>
          <w:b/>
        </w:rPr>
        <w:t>přiznání příspěvku pouze tomu úřadu daného ORP, kde dochází k „nabrání“ žádosti</w:t>
      </w:r>
      <w:r>
        <w:t xml:space="preserve">, ne ve spojitosti s faktickým výdejem OP, neboť „nabrání“ OP je rozsáhlejší (kalkulace na „nabrání“ představuje 15 min., na výdej 5 min). </w:t>
      </w:r>
    </w:p>
    <w:p w:rsidR="00B81F2D" w:rsidRDefault="00B81F2D" w:rsidP="00B81F2D">
      <w:pPr>
        <w:jc w:val="both"/>
      </w:pPr>
      <w:r w:rsidRPr="00E05813">
        <w:rPr>
          <w:b/>
        </w:rPr>
        <w:t>Pro rok 2018 je navrhováno vycházet z celkového počtu „nabraných“ OP v roce 2016.</w:t>
      </w:r>
      <w:r>
        <w:t xml:space="preserve"> Jedná se o stejný systém, jako při vykazování počtu osob, který je uplatňován při výpočtu příspěvku pro veřejné opatrovnictví. </w:t>
      </w:r>
    </w:p>
    <w:p w:rsidR="003A4ADC" w:rsidRPr="005E77F3" w:rsidRDefault="003A4ADC" w:rsidP="003A4ADC">
      <w:pPr>
        <w:jc w:val="both"/>
        <w:rPr>
          <w:b/>
          <w:color w:val="FF0000"/>
        </w:rPr>
      </w:pPr>
      <w:r>
        <w:t xml:space="preserve">Na základě podkladů zpracovaných odborem Centrálních informačních systémů MV bylo </w:t>
      </w:r>
      <w:r w:rsidRPr="005E77F3">
        <w:rPr>
          <w:b/>
          <w:u w:val="single"/>
        </w:rPr>
        <w:t xml:space="preserve">v roce 2016 „nabráno“ </w:t>
      </w:r>
      <w:r w:rsidR="005E77F3" w:rsidRPr="005E77F3">
        <w:rPr>
          <w:b/>
          <w:u w:val="single"/>
        </w:rPr>
        <w:t>1 565 000 OP, čemuž při úvaze 107 Kč na 1 OP odpovídá částka 167 465 700 Kč.</w:t>
      </w:r>
    </w:p>
    <w:p w:rsidR="00B81F2D" w:rsidRDefault="00B81F2D" w:rsidP="00B81F2D">
      <w:pPr>
        <w:jc w:val="both"/>
      </w:pPr>
      <w:r>
        <w:t xml:space="preserve">Zbylá částka </w:t>
      </w:r>
      <w:r w:rsidRPr="005E77F3">
        <w:rPr>
          <w:b/>
        </w:rPr>
        <w:t>navýšení příspěvku</w:t>
      </w:r>
      <w:r>
        <w:t xml:space="preserve"> pro ORP (</w:t>
      </w:r>
      <w:r w:rsidR="005E77F3">
        <w:t xml:space="preserve">185 mil. – </w:t>
      </w:r>
      <w:r>
        <w:t>16</w:t>
      </w:r>
      <w:r w:rsidR="005E77F3">
        <w:t>7 mil.</w:t>
      </w:r>
      <w:r>
        <w:t xml:space="preserve"> Kč) bude rozdělena standardním způsobem (užití matematických vzorců). Ostatní části příspěvku jsou neměnné.</w:t>
      </w:r>
    </w:p>
    <w:p w:rsidR="00E05813" w:rsidRDefault="00E05813" w:rsidP="00B81F2D">
      <w:pPr>
        <w:jc w:val="both"/>
      </w:pPr>
    </w:p>
    <w:sectPr w:rsidR="00E05813" w:rsidSect="00434E8A">
      <w:headerReference w:type="default" r:id="rId8"/>
      <w:pgSz w:w="11906" w:h="16838"/>
      <w:pgMar w:top="2238"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1D9" w:rsidRDefault="002B61D9" w:rsidP="003A2D13">
      <w:pPr>
        <w:spacing w:after="0" w:line="240" w:lineRule="auto"/>
      </w:pPr>
      <w:r>
        <w:separator/>
      </w:r>
    </w:p>
  </w:endnote>
  <w:endnote w:type="continuationSeparator" w:id="0">
    <w:p w:rsidR="002B61D9" w:rsidRDefault="002B61D9" w:rsidP="003A2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1D9" w:rsidRDefault="002B61D9" w:rsidP="003A2D13">
      <w:pPr>
        <w:spacing w:after="0" w:line="240" w:lineRule="auto"/>
      </w:pPr>
      <w:r>
        <w:separator/>
      </w:r>
    </w:p>
  </w:footnote>
  <w:footnote w:type="continuationSeparator" w:id="0">
    <w:p w:rsidR="002B61D9" w:rsidRDefault="002B61D9" w:rsidP="003A2D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E8A" w:rsidRDefault="00434E8A" w:rsidP="00434E8A">
    <w:pPr>
      <w:pStyle w:val="Zhlav"/>
    </w:pPr>
    <w:r>
      <w:rPr>
        <w:noProof/>
        <w:lang w:eastAsia="cs-CZ"/>
      </w:rPr>
      <w:drawing>
        <wp:anchor distT="0" distB="0" distL="114300" distR="114300" simplePos="0" relativeHeight="251660288" behindDoc="0" locked="0" layoutInCell="1" allowOverlap="1" wp14:anchorId="3CAF16BE" wp14:editId="24083C8F">
          <wp:simplePos x="0" y="0"/>
          <wp:positionH relativeFrom="column">
            <wp:posOffset>4056719</wp:posOffset>
          </wp:positionH>
          <wp:positionV relativeFrom="paragraph">
            <wp:posOffset>13335</wp:posOffset>
          </wp:positionV>
          <wp:extent cx="1950085" cy="711835"/>
          <wp:effectExtent l="0" t="0" r="0" b="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MYK.jpg"/>
                  <pic:cNvPicPr/>
                </pic:nvPicPr>
                <pic:blipFill rotWithShape="1">
                  <a:blip r:embed="rId1" cstate="print">
                    <a:extLst>
                      <a:ext uri="{28A0092B-C50C-407E-A947-70E740481C1C}">
                        <a14:useLocalDpi xmlns:a14="http://schemas.microsoft.com/office/drawing/2010/main" val="0"/>
                      </a:ext>
                    </a:extLst>
                  </a:blip>
                  <a:srcRect b="17284"/>
                  <a:stretch/>
                </pic:blipFill>
                <pic:spPr bwMode="auto">
                  <a:xfrm>
                    <a:off x="0" y="0"/>
                    <a:ext cx="1950085" cy="711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C23EB">
      <w:rPr>
        <w:rFonts w:ascii="Arial" w:hAnsi="Arial" w:cs="Arial"/>
        <w:bCs/>
        <w:noProof/>
        <w:sz w:val="32"/>
        <w:szCs w:val="32"/>
        <w:lang w:eastAsia="cs-CZ"/>
      </w:rPr>
      <w:drawing>
        <wp:anchor distT="0" distB="0" distL="114300" distR="114300" simplePos="0" relativeHeight="251659264" behindDoc="0" locked="0" layoutInCell="1" allowOverlap="1" wp14:anchorId="6B080301" wp14:editId="2D681B06">
          <wp:simplePos x="0" y="0"/>
          <wp:positionH relativeFrom="column">
            <wp:posOffset>-29210</wp:posOffset>
          </wp:positionH>
          <wp:positionV relativeFrom="paragraph">
            <wp:posOffset>112395</wp:posOffset>
          </wp:positionV>
          <wp:extent cx="3122295" cy="645795"/>
          <wp:effectExtent l="0" t="0" r="1905" b="1905"/>
          <wp:wrapNone/>
          <wp:docPr id="8" name="Obrázek 8" descr="T:\SPOLECNY\Publicita OPZ\Publicita OPZ - šablony\Šablony, vzory a loga pro vizuální identitu OPZ\Logo OPZ\Logo OPZ barevn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SPOLECNY\Publicita OPZ\Publicita OPZ - šablony\Šablony, vzory a loga pro vizuální identitu OPZ\Logo OPZ\Logo OPZ barevné.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122295" cy="645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2D13" w:rsidRPr="00434E8A" w:rsidRDefault="003A2D13" w:rsidP="00434E8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26CB7"/>
    <w:multiLevelType w:val="hybridMultilevel"/>
    <w:tmpl w:val="CE727B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46F976C4"/>
    <w:multiLevelType w:val="hybridMultilevel"/>
    <w:tmpl w:val="3C0276B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5B051FED"/>
    <w:multiLevelType w:val="hybridMultilevel"/>
    <w:tmpl w:val="197645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5EF70276"/>
    <w:multiLevelType w:val="hybridMultilevel"/>
    <w:tmpl w:val="3E34BAA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3811F5F"/>
    <w:multiLevelType w:val="hybridMultilevel"/>
    <w:tmpl w:val="4A0058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78977A65"/>
    <w:multiLevelType w:val="hybridMultilevel"/>
    <w:tmpl w:val="92684E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7FDC6486"/>
    <w:multiLevelType w:val="hybridMultilevel"/>
    <w:tmpl w:val="6A409A5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D13"/>
    <w:rsid w:val="00020C86"/>
    <w:rsid w:val="000D075D"/>
    <w:rsid w:val="001C51E8"/>
    <w:rsid w:val="001C5CA0"/>
    <w:rsid w:val="001D723E"/>
    <w:rsid w:val="001E5DAA"/>
    <w:rsid w:val="0022321C"/>
    <w:rsid w:val="002B61D9"/>
    <w:rsid w:val="002D0800"/>
    <w:rsid w:val="002E42BB"/>
    <w:rsid w:val="00301F98"/>
    <w:rsid w:val="00314C42"/>
    <w:rsid w:val="00325142"/>
    <w:rsid w:val="00337739"/>
    <w:rsid w:val="00340E14"/>
    <w:rsid w:val="003A2D13"/>
    <w:rsid w:val="003A4ADC"/>
    <w:rsid w:val="003B47CD"/>
    <w:rsid w:val="003C276F"/>
    <w:rsid w:val="003E5871"/>
    <w:rsid w:val="003F66A1"/>
    <w:rsid w:val="0040351D"/>
    <w:rsid w:val="00434E8A"/>
    <w:rsid w:val="00443F02"/>
    <w:rsid w:val="00476AB3"/>
    <w:rsid w:val="004A1B9F"/>
    <w:rsid w:val="004D1123"/>
    <w:rsid w:val="004F5ADA"/>
    <w:rsid w:val="00512C00"/>
    <w:rsid w:val="005A2C02"/>
    <w:rsid w:val="005E77F3"/>
    <w:rsid w:val="005F35A3"/>
    <w:rsid w:val="00607CAC"/>
    <w:rsid w:val="0066447B"/>
    <w:rsid w:val="006B52E2"/>
    <w:rsid w:val="006C3460"/>
    <w:rsid w:val="006E3F09"/>
    <w:rsid w:val="006F30C1"/>
    <w:rsid w:val="00790AA4"/>
    <w:rsid w:val="007C4CF0"/>
    <w:rsid w:val="007C6C3F"/>
    <w:rsid w:val="00801A5F"/>
    <w:rsid w:val="0081078B"/>
    <w:rsid w:val="008353F7"/>
    <w:rsid w:val="00880393"/>
    <w:rsid w:val="008A66C0"/>
    <w:rsid w:val="009020A1"/>
    <w:rsid w:val="0092194E"/>
    <w:rsid w:val="00990A28"/>
    <w:rsid w:val="009B70EF"/>
    <w:rsid w:val="009C464E"/>
    <w:rsid w:val="009E6905"/>
    <w:rsid w:val="009F1762"/>
    <w:rsid w:val="00A33186"/>
    <w:rsid w:val="00A37336"/>
    <w:rsid w:val="00A81FC2"/>
    <w:rsid w:val="00B36A5B"/>
    <w:rsid w:val="00B52327"/>
    <w:rsid w:val="00B81F2D"/>
    <w:rsid w:val="00C02AB0"/>
    <w:rsid w:val="00C23260"/>
    <w:rsid w:val="00CD553C"/>
    <w:rsid w:val="00CE7C69"/>
    <w:rsid w:val="00D07401"/>
    <w:rsid w:val="00DD6C47"/>
    <w:rsid w:val="00E05813"/>
    <w:rsid w:val="00E11597"/>
    <w:rsid w:val="00E149D4"/>
    <w:rsid w:val="00E35716"/>
    <w:rsid w:val="00E615AD"/>
    <w:rsid w:val="00EF023A"/>
    <w:rsid w:val="00F00835"/>
    <w:rsid w:val="00F56381"/>
    <w:rsid w:val="00FC2D61"/>
    <w:rsid w:val="00FD22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A2D1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2D13"/>
    <w:rPr>
      <w:rFonts w:ascii="Tahoma" w:hAnsi="Tahoma" w:cs="Tahoma"/>
      <w:sz w:val="16"/>
      <w:szCs w:val="16"/>
    </w:rPr>
  </w:style>
  <w:style w:type="paragraph" w:styleId="Zhlav">
    <w:name w:val="header"/>
    <w:basedOn w:val="Normln"/>
    <w:link w:val="ZhlavChar"/>
    <w:uiPriority w:val="99"/>
    <w:unhideWhenUsed/>
    <w:rsid w:val="003A2D1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A2D13"/>
  </w:style>
  <w:style w:type="paragraph" w:styleId="Zpat">
    <w:name w:val="footer"/>
    <w:basedOn w:val="Normln"/>
    <w:link w:val="ZpatChar"/>
    <w:uiPriority w:val="99"/>
    <w:unhideWhenUsed/>
    <w:rsid w:val="003A2D13"/>
    <w:pPr>
      <w:tabs>
        <w:tab w:val="center" w:pos="4536"/>
        <w:tab w:val="right" w:pos="9072"/>
      </w:tabs>
      <w:spacing w:after="0" w:line="240" w:lineRule="auto"/>
    </w:pPr>
  </w:style>
  <w:style w:type="character" w:customStyle="1" w:styleId="ZpatChar">
    <w:name w:val="Zápatí Char"/>
    <w:basedOn w:val="Standardnpsmoodstavce"/>
    <w:link w:val="Zpat"/>
    <w:uiPriority w:val="99"/>
    <w:rsid w:val="003A2D13"/>
  </w:style>
  <w:style w:type="table" w:styleId="Mkatabulky">
    <w:name w:val="Table Grid"/>
    <w:basedOn w:val="Normlntabulka"/>
    <w:uiPriority w:val="59"/>
    <w:rsid w:val="003A2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C3460"/>
    <w:pPr>
      <w:ind w:left="720"/>
      <w:contextualSpacing/>
    </w:pPr>
  </w:style>
  <w:style w:type="paragraph" w:styleId="Nzev">
    <w:name w:val="Title"/>
    <w:basedOn w:val="Normln"/>
    <w:next w:val="Normln"/>
    <w:link w:val="NzevChar"/>
    <w:uiPriority w:val="10"/>
    <w:qFormat/>
    <w:rsid w:val="00434E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434E8A"/>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A2D1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2D13"/>
    <w:rPr>
      <w:rFonts w:ascii="Tahoma" w:hAnsi="Tahoma" w:cs="Tahoma"/>
      <w:sz w:val="16"/>
      <w:szCs w:val="16"/>
    </w:rPr>
  </w:style>
  <w:style w:type="paragraph" w:styleId="Zhlav">
    <w:name w:val="header"/>
    <w:basedOn w:val="Normln"/>
    <w:link w:val="ZhlavChar"/>
    <w:uiPriority w:val="99"/>
    <w:unhideWhenUsed/>
    <w:rsid w:val="003A2D1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A2D13"/>
  </w:style>
  <w:style w:type="paragraph" w:styleId="Zpat">
    <w:name w:val="footer"/>
    <w:basedOn w:val="Normln"/>
    <w:link w:val="ZpatChar"/>
    <w:uiPriority w:val="99"/>
    <w:unhideWhenUsed/>
    <w:rsid w:val="003A2D13"/>
    <w:pPr>
      <w:tabs>
        <w:tab w:val="center" w:pos="4536"/>
        <w:tab w:val="right" w:pos="9072"/>
      </w:tabs>
      <w:spacing w:after="0" w:line="240" w:lineRule="auto"/>
    </w:pPr>
  </w:style>
  <w:style w:type="character" w:customStyle="1" w:styleId="ZpatChar">
    <w:name w:val="Zápatí Char"/>
    <w:basedOn w:val="Standardnpsmoodstavce"/>
    <w:link w:val="Zpat"/>
    <w:uiPriority w:val="99"/>
    <w:rsid w:val="003A2D13"/>
  </w:style>
  <w:style w:type="table" w:styleId="Mkatabulky">
    <w:name w:val="Table Grid"/>
    <w:basedOn w:val="Normlntabulka"/>
    <w:uiPriority w:val="59"/>
    <w:rsid w:val="003A2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6C3460"/>
    <w:pPr>
      <w:ind w:left="720"/>
      <w:contextualSpacing/>
    </w:pPr>
  </w:style>
  <w:style w:type="paragraph" w:styleId="Nzev">
    <w:name w:val="Title"/>
    <w:basedOn w:val="Normln"/>
    <w:next w:val="Normln"/>
    <w:link w:val="NzevChar"/>
    <w:uiPriority w:val="10"/>
    <w:qFormat/>
    <w:rsid w:val="00434E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434E8A"/>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607555">
      <w:bodyDiv w:val="1"/>
      <w:marLeft w:val="0"/>
      <w:marRight w:val="0"/>
      <w:marTop w:val="0"/>
      <w:marBottom w:val="0"/>
      <w:divBdr>
        <w:top w:val="none" w:sz="0" w:space="0" w:color="auto"/>
        <w:left w:val="none" w:sz="0" w:space="0" w:color="auto"/>
        <w:bottom w:val="none" w:sz="0" w:space="0" w:color="auto"/>
        <w:right w:val="none" w:sz="0" w:space="0" w:color="auto"/>
      </w:divBdr>
    </w:div>
    <w:div w:id="1612932288">
      <w:bodyDiv w:val="1"/>
      <w:marLeft w:val="0"/>
      <w:marRight w:val="0"/>
      <w:marTop w:val="0"/>
      <w:marBottom w:val="0"/>
      <w:divBdr>
        <w:top w:val="none" w:sz="0" w:space="0" w:color="auto"/>
        <w:left w:val="none" w:sz="0" w:space="0" w:color="auto"/>
        <w:bottom w:val="none" w:sz="0" w:space="0" w:color="auto"/>
        <w:right w:val="none" w:sz="0" w:space="0" w:color="auto"/>
      </w:divBdr>
    </w:div>
    <w:div w:id="18156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647</Words>
  <Characters>3821</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MVČR</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Financování agendy vydávání občanských průkazů v roce 2018</dc:title>
  <dc:creator>MVCR</dc:creator>
  <cp:lastModifiedBy>MVCR</cp:lastModifiedBy>
  <cp:revision>3</cp:revision>
  <cp:lastPrinted>2017-02-08T09:08:00Z</cp:lastPrinted>
  <dcterms:created xsi:type="dcterms:W3CDTF">2017-08-15T07:19:00Z</dcterms:created>
  <dcterms:modified xsi:type="dcterms:W3CDTF">2017-08-15T08:04:00Z</dcterms:modified>
</cp:coreProperties>
</file>